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449D217E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3B37AEBD" w:rsidR="00DD7E9A" w:rsidRPr="00DD7E9A" w:rsidRDefault="00F314E4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>Competenza alfabetica funzionale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63D84398" w:rsidR="00DD7E9A" w:rsidRPr="00DD7E9A" w:rsidRDefault="00606F7E" w:rsidP="00F314E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Potenziamento di </w:t>
            </w:r>
            <w:r w:rsidR="00F314E4">
              <w:rPr>
                <w:b/>
                <w:sz w:val="20"/>
                <w:szCs w:val="24"/>
              </w:rPr>
              <w:t>lingua italiana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37FC8BC2" w:rsidR="00DD7E9A" w:rsidRPr="001D4BC3" w:rsidRDefault="002C3E30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bookmarkStart w:id="0" w:name="_GoBack"/>
            <w:r w:rsidRPr="00212EC4">
              <w:rPr>
                <w:b/>
                <w:sz w:val="20"/>
                <w:szCs w:val="24"/>
              </w:rPr>
              <w:t>Padronanza della lingua madre</w:t>
            </w:r>
            <w:bookmarkEnd w:id="0"/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2051AC8" w14:textId="77777777" w:rsidR="00335274" w:rsidRDefault="00335274" w:rsidP="004F7C05">
      <w:pPr>
        <w:spacing w:after="0" w:line="240" w:lineRule="auto"/>
        <w:jc w:val="both"/>
        <w:rPr>
          <w:b/>
          <w:szCs w:val="24"/>
        </w:rPr>
      </w:pPr>
    </w:p>
    <w:p w14:paraId="16DDFD5E" w14:textId="712A5BD5" w:rsidR="00335274" w:rsidRDefault="00F314E4" w:rsidP="00335274">
      <w:pPr>
        <w:spacing w:after="0" w:line="240" w:lineRule="auto"/>
        <w:jc w:val="both"/>
      </w:pPr>
      <w:r w:rsidRPr="00F314E4">
        <w:t>La lingua italiana è caratterizzata da una trasversalità intrinseca in quanto veicolo per lo studio delle altre discipline e condizione indispensabile per l’accesso critico a tutti gli ambiti culturali. L’apprendimento mnemonico di regole, tipico dell’insegnamento della grammatica tradizionale e normativa, può essere superato a favore di pratiche in classe di riflessione e confronto sul meccanismo di funzionamento della lingua. In questo senso l’attività didattica prevede l’adozione di un modello esplicativo della struttura e del funzionamento del sistema della lingua come quello della “grammatica valenziale” e lo svolgimento di giochi linguistici, che possono rendere l’apprendimento dinamico e stimolante.</w:t>
      </w:r>
    </w:p>
    <w:p w14:paraId="0111E6F4" w14:textId="77777777" w:rsidR="00F314E4" w:rsidRDefault="00F314E4" w:rsidP="00335274">
      <w:pPr>
        <w:spacing w:after="0" w:line="240" w:lineRule="auto"/>
        <w:jc w:val="both"/>
      </w:pPr>
    </w:p>
    <w:p w14:paraId="3C58E9A0" w14:textId="38E12E04" w:rsidR="00335274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DESCRIZIONE</w:t>
      </w:r>
    </w:p>
    <w:p w14:paraId="31AF349C" w14:textId="77777777" w:rsidR="00335274" w:rsidRPr="00335274" w:rsidRDefault="00335274" w:rsidP="00335274">
      <w:pPr>
        <w:spacing w:after="0" w:line="240" w:lineRule="auto"/>
        <w:jc w:val="both"/>
        <w:rPr>
          <w:b/>
        </w:rPr>
      </w:pPr>
    </w:p>
    <w:p w14:paraId="47F61C2F" w14:textId="095EE835" w:rsidR="00F314E4" w:rsidRDefault="00F314E4" w:rsidP="00335274">
      <w:pPr>
        <w:spacing w:after="0" w:line="240" w:lineRule="auto"/>
        <w:jc w:val="both"/>
      </w:pPr>
      <w:r w:rsidRPr="00F314E4">
        <w:t>La padronanza della lingua italiana rappresenta una competenza base, che deve essere raggiunta dall’</w:t>
      </w:r>
      <w:r>
        <w:t>allievo</w:t>
      </w:r>
      <w:r w:rsidRPr="00F314E4">
        <w:t>. Tale competenza base è articolata in ulteriori competenze, abilità e conoscenze specifiche. Allo stesso tempo si intende favorire il pieno sviluppo della persona nella costruzione del sé, di corrette e significative relazioni con gli altri e di una positiva interazione con la realtà naturale e sociale. Padroneggiare gli strumenti espressivi e argomentativi indispensabili per gestire l’interazione comunicativa verbale in vari contesti è la competenza di base fondamentale per interagire col mondo del lavoro e con la società.</w:t>
      </w:r>
      <w:r w:rsidR="002C3E30">
        <w:t xml:space="preserve"> </w:t>
      </w:r>
      <w:r w:rsidRPr="00F314E4">
        <w:t xml:space="preserve">L’attività laboratoriale per lo sviluppo delle competenze </w:t>
      </w:r>
      <w:r>
        <w:t xml:space="preserve">chiave in lingua madre </w:t>
      </w:r>
      <w:proofErr w:type="spellStart"/>
      <w:r>
        <w:t>avverra’</w:t>
      </w:r>
      <w:proofErr w:type="spellEnd"/>
      <w:r>
        <w:t xml:space="preserve"> </w:t>
      </w:r>
      <w:r w:rsidR="002C3E30">
        <w:t>con l’</w:t>
      </w:r>
      <w:r w:rsidRPr="00F314E4">
        <w:t xml:space="preserve">ausilio della strumentazione </w:t>
      </w:r>
      <w:proofErr w:type="gramStart"/>
      <w:r w:rsidRPr="00F314E4">
        <w:t>informatica .Gli</w:t>
      </w:r>
      <w:proofErr w:type="gramEnd"/>
      <w:r w:rsidRPr="00F314E4">
        <w:t xml:space="preserve"> atti comunicativi da scegliere devono essere vicini agli interessi e ai bisogni degli allievi senza dimenticare il valore ludico di alcuni di essi. Compito dell’attività di laboratorio è far capire che l’italian</w:t>
      </w:r>
      <w:r>
        <w:t xml:space="preserve">o si può apprendere giocando e </w:t>
      </w:r>
      <w:r w:rsidRPr="00F314E4">
        <w:t xml:space="preserve">usando le nuove tecnologie come strumento. </w:t>
      </w:r>
    </w:p>
    <w:p w14:paraId="220A89B5" w14:textId="77777777" w:rsidR="00F314E4" w:rsidRDefault="00F314E4" w:rsidP="00335274">
      <w:pPr>
        <w:spacing w:after="0" w:line="240" w:lineRule="auto"/>
        <w:jc w:val="both"/>
      </w:pPr>
    </w:p>
    <w:p w14:paraId="57B3441E" w14:textId="18FEF0C7" w:rsidR="00E72986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OBBIETTIVI</w:t>
      </w:r>
    </w:p>
    <w:p w14:paraId="0767CCA0" w14:textId="3421D0CB" w:rsidR="002C3E30" w:rsidRDefault="002C3E30" w:rsidP="00335274">
      <w:pPr>
        <w:spacing w:after="0" w:line="240" w:lineRule="auto"/>
        <w:jc w:val="both"/>
        <w:rPr>
          <w:b/>
        </w:rPr>
      </w:pPr>
    </w:p>
    <w:p w14:paraId="65D1D229" w14:textId="52398304" w:rsidR="002C3E30" w:rsidRDefault="002C3E30" w:rsidP="002C3E30">
      <w:pPr>
        <w:spacing w:after="0" w:line="240" w:lineRule="auto"/>
        <w:jc w:val="both"/>
      </w:pPr>
      <w:r w:rsidRPr="00F314E4">
        <w:t xml:space="preserve">Le finalità del </w:t>
      </w:r>
      <w:r>
        <w:t>percorso sono m</w:t>
      </w:r>
      <w:r w:rsidRPr="002C3E30">
        <w:t>igliorare le competenze linguistiche</w:t>
      </w:r>
      <w:r>
        <w:t xml:space="preserve"> padroneggiando le </w:t>
      </w:r>
      <w:r w:rsidRPr="00F314E4">
        <w:t xml:space="preserve">strutture della lingua presente nei testi, comprendere nel complesso e in dettaglio il messaggio contenuto in un testo scritto, cogliere le relazioni logiche tra le varie componenti di un testo scritto, riconoscere il rapporto esistente tra l’evoluzione della lingua e lo spazio geografico/contesto storico sociale, rielaborare le informazioni in forma orale e scritta, </w:t>
      </w:r>
      <w:r>
        <w:t>a</w:t>
      </w:r>
      <w:r w:rsidRPr="002C3E30">
        <w:t>mpliare il numero di termini usati nel linguaggio comune</w:t>
      </w:r>
      <w:r>
        <w:t xml:space="preserve">, </w:t>
      </w:r>
      <w:r w:rsidRPr="00F314E4">
        <w:t>scrivere/riscrivere testi</w:t>
      </w:r>
      <w:r>
        <w:t xml:space="preserve"> con procedure creative guidate migliorando le </w:t>
      </w:r>
      <w:r w:rsidRPr="002C3E30">
        <w:t>capacità di lettura e sintesi</w:t>
      </w:r>
    </w:p>
    <w:p w14:paraId="1053DE35" w14:textId="77777777" w:rsidR="002C3E30" w:rsidRDefault="002C3E30" w:rsidP="00335274">
      <w:pPr>
        <w:spacing w:after="0" w:line="240" w:lineRule="auto"/>
        <w:jc w:val="both"/>
        <w:rPr>
          <w:b/>
        </w:rPr>
      </w:pPr>
    </w:p>
    <w:p w14:paraId="5773E963" w14:textId="77777777" w:rsidR="00E72986" w:rsidRDefault="00E72986" w:rsidP="00335274">
      <w:pPr>
        <w:spacing w:after="0" w:line="240" w:lineRule="auto"/>
        <w:jc w:val="both"/>
        <w:rPr>
          <w:b/>
        </w:rPr>
      </w:pP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BA65" w14:textId="77777777" w:rsidR="00357AF1" w:rsidRDefault="00357AF1" w:rsidP="00F31014">
      <w:pPr>
        <w:spacing w:after="0" w:line="240" w:lineRule="auto"/>
      </w:pPr>
      <w:r>
        <w:separator/>
      </w:r>
    </w:p>
  </w:endnote>
  <w:endnote w:type="continuationSeparator" w:id="0">
    <w:p w14:paraId="318B2326" w14:textId="77777777" w:rsidR="00357AF1" w:rsidRDefault="00357AF1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C9B3" w14:textId="77777777" w:rsidR="00357AF1" w:rsidRDefault="00357AF1" w:rsidP="00F31014">
      <w:pPr>
        <w:spacing w:after="0" w:line="240" w:lineRule="auto"/>
      </w:pPr>
      <w:r>
        <w:separator/>
      </w:r>
    </w:p>
  </w:footnote>
  <w:footnote w:type="continuationSeparator" w:id="0">
    <w:p w14:paraId="3657BB7D" w14:textId="77777777" w:rsidR="00357AF1" w:rsidRDefault="00357AF1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D4BC3"/>
    <w:rsid w:val="00212EC4"/>
    <w:rsid w:val="00260E33"/>
    <w:rsid w:val="002931DA"/>
    <w:rsid w:val="002940DD"/>
    <w:rsid w:val="002C3E30"/>
    <w:rsid w:val="003075C0"/>
    <w:rsid w:val="00335274"/>
    <w:rsid w:val="00357AF1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61B7E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D7E9A"/>
    <w:rsid w:val="00DE462A"/>
    <w:rsid w:val="00E72986"/>
    <w:rsid w:val="00ED00C3"/>
    <w:rsid w:val="00F01F06"/>
    <w:rsid w:val="00F231AD"/>
    <w:rsid w:val="00F31014"/>
    <w:rsid w:val="00F314E4"/>
    <w:rsid w:val="00F4500C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26</cp:revision>
  <dcterms:created xsi:type="dcterms:W3CDTF">2021-04-29T14:39:00Z</dcterms:created>
  <dcterms:modified xsi:type="dcterms:W3CDTF">2021-05-05T14:19:00Z</dcterms:modified>
</cp:coreProperties>
</file>