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14" w:rsidRPr="00F31014" w:rsidRDefault="00F31014" w:rsidP="00160F83">
      <w:pPr>
        <w:pStyle w:val="Citazioneintensa"/>
        <w:spacing w:before="120" w:after="120"/>
        <w:ind w:left="0" w:right="-1"/>
        <w:rPr>
          <w:sz w:val="28"/>
          <w:szCs w:val="28"/>
        </w:rPr>
      </w:pPr>
      <w:r w:rsidRPr="00F31014">
        <w:rPr>
          <w:sz w:val="28"/>
          <w:szCs w:val="28"/>
        </w:rPr>
        <w:t xml:space="preserve">Progetto di </w:t>
      </w:r>
      <w:proofErr w:type="spellStart"/>
      <w:r w:rsidRPr="00F31014">
        <w:rPr>
          <w:sz w:val="28"/>
          <w:szCs w:val="28"/>
        </w:rPr>
        <w:t>Coding</w:t>
      </w:r>
      <w:proofErr w:type="spellEnd"/>
      <w:r w:rsidRPr="00F31014">
        <w:rPr>
          <w:sz w:val="28"/>
          <w:szCs w:val="28"/>
        </w:rPr>
        <w:t xml:space="preserve"> scuola </w:t>
      </w:r>
      <w:r w:rsidR="004F7C05" w:rsidRPr="00160F83">
        <w:rPr>
          <w:sz w:val="28"/>
          <w:szCs w:val="28"/>
        </w:rPr>
        <w:t>secondaria di I grado</w:t>
      </w:r>
      <w:r w:rsidR="00746FA5" w:rsidRPr="00160F83">
        <w:rPr>
          <w:sz w:val="28"/>
          <w:szCs w:val="28"/>
        </w:rPr>
        <w:t xml:space="preserve"> </w:t>
      </w:r>
    </w:p>
    <w:tbl>
      <w:tblPr>
        <w:tblStyle w:val="Tabellaelenco2-colore1"/>
        <w:tblW w:w="0" w:type="auto"/>
        <w:tblLook w:val="04A0" w:firstRow="1" w:lastRow="0" w:firstColumn="1" w:lastColumn="0" w:noHBand="0" w:noVBand="1"/>
      </w:tblPr>
      <w:tblGrid>
        <w:gridCol w:w="2268"/>
        <w:gridCol w:w="7365"/>
      </w:tblGrid>
      <w:tr w:rsidR="00DD7E9A" w:rsidTr="00DD7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Tipologia di modulo:</w:t>
            </w:r>
          </w:p>
        </w:tc>
        <w:tc>
          <w:tcPr>
            <w:tcW w:w="7365" w:type="dxa"/>
          </w:tcPr>
          <w:p w:rsidR="00DD7E9A" w:rsidRPr="00DD7E9A" w:rsidRDefault="00DD7E9A" w:rsidP="00DD7E9A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 w:rsidRPr="00DD7E9A">
              <w:rPr>
                <w:color w:val="FF0000"/>
                <w:sz w:val="20"/>
                <w:szCs w:val="24"/>
              </w:rPr>
              <w:t>Sviluppo del pensiero computazionale e della creatività digitale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Indicazione didattica:</w:t>
            </w:r>
          </w:p>
        </w:tc>
        <w:tc>
          <w:tcPr>
            <w:tcW w:w="7365" w:type="dxa"/>
          </w:tcPr>
          <w:p w:rsidR="00DD7E9A" w:rsidRPr="00DD7E9A" w:rsidRDefault="00DD7E9A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4"/>
              </w:rPr>
            </w:pPr>
            <w:r w:rsidRPr="00DD7E9A">
              <w:rPr>
                <w:b/>
                <w:color w:val="FF0000"/>
                <w:sz w:val="20"/>
                <w:szCs w:val="24"/>
              </w:rPr>
              <w:t>Sviluppo de</w:t>
            </w:r>
          </w:p>
        </w:tc>
      </w:tr>
      <w:tr w:rsidR="00DD7E9A" w:rsidTr="00DD7E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Numero di ore:</w:t>
            </w:r>
          </w:p>
        </w:tc>
        <w:tc>
          <w:tcPr>
            <w:tcW w:w="7365" w:type="dxa"/>
          </w:tcPr>
          <w:p w:rsidR="00DD7E9A" w:rsidRDefault="00DD7E9A" w:rsidP="00DD7E9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sz w:val="20"/>
                <w:szCs w:val="24"/>
              </w:rPr>
              <w:t>30</w:t>
            </w:r>
          </w:p>
        </w:tc>
      </w:tr>
      <w:tr w:rsidR="00DD7E9A" w:rsidTr="00DD7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DD7E9A" w:rsidRDefault="00DD7E9A" w:rsidP="00DD7E9A">
            <w:pPr>
              <w:spacing w:after="120"/>
              <w:rPr>
                <w:sz w:val="20"/>
                <w:szCs w:val="24"/>
              </w:rPr>
            </w:pPr>
            <w:r w:rsidRPr="00DD7E9A">
              <w:rPr>
                <w:sz w:val="20"/>
                <w:szCs w:val="24"/>
              </w:rPr>
              <w:t>Titolo modulo:</w:t>
            </w:r>
          </w:p>
        </w:tc>
        <w:tc>
          <w:tcPr>
            <w:tcW w:w="7365" w:type="dxa"/>
          </w:tcPr>
          <w:p w:rsidR="00DD7E9A" w:rsidRDefault="00DD7E9A" w:rsidP="00DD7E9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4"/>
              </w:rPr>
            </w:pPr>
            <w:r w:rsidRPr="00DD7E9A">
              <w:rPr>
                <w:b/>
                <w:color w:val="FF0000"/>
                <w:sz w:val="20"/>
                <w:szCs w:val="24"/>
              </w:rPr>
              <w:t xml:space="preserve">Il tempo del </w:t>
            </w:r>
            <w:proofErr w:type="spellStart"/>
            <w:r w:rsidRPr="00DD7E9A">
              <w:rPr>
                <w:b/>
                <w:color w:val="FF0000"/>
                <w:sz w:val="20"/>
                <w:szCs w:val="24"/>
              </w:rPr>
              <w:t>coding</w:t>
            </w:r>
            <w:proofErr w:type="spellEnd"/>
            <w:r w:rsidRPr="00DD7E9A">
              <w:rPr>
                <w:b/>
                <w:color w:val="FF0000"/>
                <w:sz w:val="20"/>
                <w:szCs w:val="24"/>
              </w:rPr>
              <w:t xml:space="preserve"> (secondaria di I grado)</w:t>
            </w:r>
          </w:p>
        </w:tc>
      </w:tr>
    </w:tbl>
    <w:p w:rsidR="00DD7E9A" w:rsidRDefault="00DD7E9A" w:rsidP="00DD7E9A">
      <w:pPr>
        <w:spacing w:after="120" w:line="240" w:lineRule="auto"/>
        <w:ind w:left="1843" w:hanging="1843"/>
        <w:rPr>
          <w:sz w:val="20"/>
          <w:szCs w:val="24"/>
        </w:rPr>
      </w:pPr>
    </w:p>
    <w:p w:rsidR="003B0596" w:rsidRPr="003B0596" w:rsidRDefault="003B0596" w:rsidP="00DD7E9A">
      <w:pPr>
        <w:pBdr>
          <w:bottom w:val="single" w:sz="12" w:space="1" w:color="auto"/>
        </w:pBdr>
        <w:spacing w:after="0" w:line="240" w:lineRule="auto"/>
        <w:ind w:left="1843" w:hanging="1843"/>
        <w:rPr>
          <w:b/>
          <w:sz w:val="24"/>
          <w:szCs w:val="24"/>
        </w:rPr>
      </w:pPr>
      <w:r w:rsidRPr="003B0596">
        <w:rPr>
          <w:b/>
          <w:sz w:val="24"/>
          <w:szCs w:val="24"/>
        </w:rPr>
        <w:t>DESCRIZIONE MODULO</w:t>
      </w:r>
    </w:p>
    <w:p w:rsidR="00F31014" w:rsidRPr="003B0596" w:rsidRDefault="00F31014" w:rsidP="00DD7E9A">
      <w:pPr>
        <w:spacing w:after="0" w:line="240" w:lineRule="auto"/>
        <w:ind w:left="1843" w:hanging="1843"/>
        <w:rPr>
          <w:sz w:val="24"/>
          <w:szCs w:val="24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PREMESSA</w:t>
      </w:r>
    </w:p>
    <w:p w:rsidR="00F31014" w:rsidRPr="00DD7E9A" w:rsidRDefault="004F7C05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La necessità di </w:t>
      </w:r>
      <w:proofErr w:type="gramStart"/>
      <w:r w:rsidRPr="00DD7E9A">
        <w:rPr>
          <w:szCs w:val="24"/>
        </w:rPr>
        <w:t>lavorare  con</w:t>
      </w:r>
      <w:proofErr w:type="gramEnd"/>
      <w:r w:rsidRPr="00DD7E9A">
        <w:rPr>
          <w:szCs w:val="24"/>
        </w:rPr>
        <w:t xml:space="preserve"> ragazzi ‘nativi digitali’ ci mette di fronte ad una sfida: utilizzare le tecnologie, ed in particolare le tecnologie robotiche, per stimolare negli alunni una maggiore motivazione all’apprendimento e offre un valido supporto per il passaggio dall’astratto al concreto (e viceversa)  e per lo sviluppo di nuove competenze cognitive.</w:t>
      </w:r>
    </w:p>
    <w:p w:rsidR="004F7C05" w:rsidRPr="00DD7E9A" w:rsidRDefault="004F7C05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Lo scopo di questo progetto è proprio quello di utilizzare computer e/o </w:t>
      </w:r>
      <w:proofErr w:type="spellStart"/>
      <w:r w:rsidRPr="00DD7E9A">
        <w:rPr>
          <w:szCs w:val="24"/>
        </w:rPr>
        <w:t>tablet</w:t>
      </w:r>
      <w:proofErr w:type="spellEnd"/>
      <w:r w:rsidRPr="00DD7E9A">
        <w:rPr>
          <w:szCs w:val="24"/>
        </w:rPr>
        <w:t xml:space="preserve"> mediante linguaggi semplici e basati su azioni, come </w:t>
      </w:r>
      <w:proofErr w:type="spellStart"/>
      <w:r w:rsidRPr="00DD7E9A">
        <w:rPr>
          <w:szCs w:val="24"/>
        </w:rPr>
        <w:t>Blockly</w:t>
      </w:r>
      <w:proofErr w:type="spellEnd"/>
      <w:r w:rsidRPr="00DD7E9A">
        <w:rPr>
          <w:szCs w:val="24"/>
        </w:rPr>
        <w:t xml:space="preserve"> o Scratch, ed insegnare ai nostri allievi le basi della logica mediante un approccio ludico ma che permette </w:t>
      </w:r>
      <w:r w:rsidR="00D9500A" w:rsidRPr="00DD7E9A">
        <w:rPr>
          <w:szCs w:val="24"/>
        </w:rPr>
        <w:t>all’allievo di</w:t>
      </w:r>
      <w:r w:rsidRPr="00DD7E9A">
        <w:rPr>
          <w:szCs w:val="24"/>
        </w:rPr>
        <w:t xml:space="preserve"> pensare, sperimentare ed  imparare senza l’assillo del </w:t>
      </w:r>
      <w:proofErr w:type="spellStart"/>
      <w:r w:rsidRPr="00DD7E9A">
        <w:rPr>
          <w:szCs w:val="24"/>
        </w:rPr>
        <w:t>risultato.Questo</w:t>
      </w:r>
      <w:proofErr w:type="spellEnd"/>
      <w:r w:rsidRPr="00DD7E9A">
        <w:rPr>
          <w:szCs w:val="24"/>
        </w:rPr>
        <w:t xml:space="preserve"> percorso permetterà di sviluppare  competenze nelle materie STEM (Science, Technology, </w:t>
      </w:r>
      <w:proofErr w:type="spellStart"/>
      <w:r w:rsidRPr="00DD7E9A">
        <w:rPr>
          <w:szCs w:val="24"/>
        </w:rPr>
        <w:t>Engineering</w:t>
      </w:r>
      <w:proofErr w:type="spellEnd"/>
      <w:r w:rsidRPr="00DD7E9A">
        <w:rPr>
          <w:szCs w:val="24"/>
        </w:rPr>
        <w:t xml:space="preserve">, </w:t>
      </w:r>
      <w:proofErr w:type="spellStart"/>
      <w:r w:rsidRPr="00DD7E9A">
        <w:rPr>
          <w:szCs w:val="24"/>
        </w:rPr>
        <w:t>Maths</w:t>
      </w:r>
      <w:proofErr w:type="spellEnd"/>
      <w:r w:rsidRPr="00DD7E9A">
        <w:rPr>
          <w:szCs w:val="24"/>
        </w:rPr>
        <w:t>) e si terrà conto di coinvolgere quanto più gli studenti di sesso femminile che spesso</w:t>
      </w:r>
      <w:r w:rsidR="00D9500A" w:rsidRPr="00DD7E9A">
        <w:rPr>
          <w:szCs w:val="24"/>
        </w:rPr>
        <w:t xml:space="preserve"> sono poco motivati nei confronti di </w:t>
      </w:r>
      <w:r w:rsidRPr="00DD7E9A">
        <w:rPr>
          <w:szCs w:val="24"/>
        </w:rPr>
        <w:t>questo tipo di discipline.</w:t>
      </w:r>
    </w:p>
    <w:p w:rsidR="00FD4D95" w:rsidRPr="00DD7E9A" w:rsidRDefault="00FD4D95" w:rsidP="004F7C05">
      <w:pPr>
        <w:spacing w:after="0" w:line="240" w:lineRule="auto"/>
        <w:jc w:val="both"/>
        <w:rPr>
          <w:b/>
          <w:szCs w:val="24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DESCRIZIONE</w:t>
      </w:r>
    </w:p>
    <w:p w:rsidR="00881CE3" w:rsidRPr="00DD7E9A" w:rsidRDefault="00881CE3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Il percorso permetterà mediante </w:t>
      </w:r>
      <w:proofErr w:type="spellStart"/>
      <w:r w:rsidRPr="00DD7E9A">
        <w:rPr>
          <w:szCs w:val="24"/>
        </w:rPr>
        <w:t>step</w:t>
      </w:r>
      <w:proofErr w:type="spellEnd"/>
      <w:r w:rsidRPr="00DD7E9A">
        <w:rPr>
          <w:szCs w:val="24"/>
        </w:rPr>
        <w:t xml:space="preserve"> successivi e l’utilizzo di APP, software in </w:t>
      </w:r>
      <w:proofErr w:type="spellStart"/>
      <w:r w:rsidRPr="00DD7E9A">
        <w:rPr>
          <w:szCs w:val="24"/>
        </w:rPr>
        <w:t>Cloud</w:t>
      </w:r>
      <w:proofErr w:type="spellEnd"/>
      <w:r w:rsidRPr="00DD7E9A">
        <w:rPr>
          <w:szCs w:val="24"/>
        </w:rPr>
        <w:t xml:space="preserve"> e robot educativi, di acquisire conoscenze e competenze relative alla logica </w:t>
      </w:r>
      <w:r w:rsidR="00D9500A" w:rsidRPr="00DD7E9A">
        <w:rPr>
          <w:szCs w:val="24"/>
        </w:rPr>
        <w:t>e</w:t>
      </w:r>
      <w:r w:rsidRPr="00DD7E9A">
        <w:rPr>
          <w:szCs w:val="24"/>
        </w:rPr>
        <w:t xml:space="preserve">d all’approccio di tipo </w:t>
      </w:r>
      <w:proofErr w:type="spellStart"/>
      <w:r w:rsidRPr="00DD7E9A">
        <w:rPr>
          <w:szCs w:val="24"/>
        </w:rPr>
        <w:t>problem</w:t>
      </w:r>
      <w:proofErr w:type="spellEnd"/>
      <w:r w:rsidRPr="00DD7E9A">
        <w:rPr>
          <w:szCs w:val="24"/>
        </w:rPr>
        <w:t xml:space="preserve"> </w:t>
      </w:r>
      <w:proofErr w:type="spellStart"/>
      <w:r w:rsidRPr="00DD7E9A">
        <w:rPr>
          <w:szCs w:val="24"/>
        </w:rPr>
        <w:t>solving</w:t>
      </w:r>
      <w:proofErr w:type="spellEnd"/>
      <w:r w:rsidRPr="00DD7E9A">
        <w:rPr>
          <w:szCs w:val="24"/>
        </w:rPr>
        <w:t>.</w:t>
      </w:r>
    </w:p>
    <w:p w:rsidR="00D9500A" w:rsidRPr="00DD7E9A" w:rsidRDefault="00D9500A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>In una prima fase si tratterà l’uso della logica, anche mediante semplici esercizi al computer o su carta, per abituare gli allievi al tipo di approccio educativo.</w:t>
      </w:r>
    </w:p>
    <w:p w:rsidR="00D9500A" w:rsidRPr="00DD7E9A" w:rsidRDefault="00D9500A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>Una seconda fase si occuperà dell’uso di semplici linguaggi (</w:t>
      </w:r>
      <w:proofErr w:type="spellStart"/>
      <w:r w:rsidRPr="00DD7E9A">
        <w:rPr>
          <w:szCs w:val="24"/>
        </w:rPr>
        <w:t>Blockly</w:t>
      </w:r>
      <w:proofErr w:type="spellEnd"/>
      <w:r w:rsidRPr="00DD7E9A">
        <w:rPr>
          <w:szCs w:val="24"/>
        </w:rPr>
        <w:t xml:space="preserve"> o scratch) per cominciare ad insegnare ai discenti i concetti base della programmazione.</w:t>
      </w:r>
    </w:p>
    <w:p w:rsidR="00D9500A" w:rsidRPr="00DD7E9A" w:rsidRDefault="00D9500A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In una terza fase ci sarà l’approccio pratico con cui gli allievi, mediante il codice e dei comandi specifici a secondo delle situazioni, </w:t>
      </w:r>
      <w:r w:rsidR="00FD4D95" w:rsidRPr="00DD7E9A">
        <w:rPr>
          <w:szCs w:val="24"/>
        </w:rPr>
        <w:t>invieranno al</w:t>
      </w:r>
      <w:r w:rsidRPr="00DD7E9A">
        <w:rPr>
          <w:szCs w:val="24"/>
        </w:rPr>
        <w:t xml:space="preserve"> robot </w:t>
      </w:r>
      <w:r w:rsidR="00FD4D95" w:rsidRPr="00DD7E9A">
        <w:rPr>
          <w:szCs w:val="24"/>
        </w:rPr>
        <w:t xml:space="preserve">le specifiche </w:t>
      </w:r>
      <w:r w:rsidRPr="00DD7E9A">
        <w:rPr>
          <w:szCs w:val="24"/>
        </w:rPr>
        <w:t>per permettere determinati percorsi o determinati comportamenti.</w:t>
      </w:r>
    </w:p>
    <w:p w:rsidR="00D9500A" w:rsidRPr="00DD7E9A" w:rsidRDefault="00D9500A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>In questa terza fase si creeranno anche gare e mini-tornei per creare quel pizzico di competizione tra gli allievi</w:t>
      </w:r>
      <w:r w:rsidR="00746FA5" w:rsidRPr="00DD7E9A">
        <w:rPr>
          <w:szCs w:val="24"/>
        </w:rPr>
        <w:t xml:space="preserve"> che possa ancora di più motivare il loro percorso di apprendimento.</w:t>
      </w:r>
      <w:r w:rsidRPr="00DD7E9A">
        <w:rPr>
          <w:szCs w:val="24"/>
        </w:rPr>
        <w:t xml:space="preserve"> </w:t>
      </w:r>
    </w:p>
    <w:p w:rsidR="00FD4D95" w:rsidRPr="00DD7E9A" w:rsidRDefault="00FD4D95" w:rsidP="004F7C05">
      <w:pPr>
        <w:spacing w:after="0" w:line="240" w:lineRule="auto"/>
        <w:jc w:val="both"/>
        <w:rPr>
          <w:b/>
          <w:szCs w:val="24"/>
        </w:rPr>
      </w:pPr>
    </w:p>
    <w:p w:rsidR="00DD7E9A" w:rsidRDefault="00881CE3" w:rsidP="004F7C05">
      <w:pPr>
        <w:spacing w:after="0" w:line="240" w:lineRule="auto"/>
        <w:jc w:val="both"/>
        <w:rPr>
          <w:b/>
          <w:szCs w:val="24"/>
        </w:rPr>
      </w:pPr>
      <w:r w:rsidRPr="00DD7E9A">
        <w:rPr>
          <w:b/>
          <w:szCs w:val="24"/>
        </w:rPr>
        <w:t>OBIETTIVI</w:t>
      </w:r>
    </w:p>
    <w:p w:rsidR="00881CE3" w:rsidRPr="00DD7E9A" w:rsidRDefault="00881CE3" w:rsidP="004F7C05">
      <w:p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>L’uso delle tecnologie per la soluzione di problematiche di logica e comportamento permetterà di:</w:t>
      </w:r>
    </w:p>
    <w:p w:rsidR="00746FA5" w:rsidRPr="00DD7E9A" w:rsidRDefault="00746FA5" w:rsidP="00746F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educare ad un utilizzo attivo e consapevole del computer e/o </w:t>
      </w:r>
      <w:proofErr w:type="spellStart"/>
      <w:r w:rsidRPr="00DD7E9A">
        <w:rPr>
          <w:szCs w:val="24"/>
        </w:rPr>
        <w:t>tablet</w:t>
      </w:r>
      <w:proofErr w:type="spellEnd"/>
      <w:r w:rsidRPr="00DD7E9A">
        <w:rPr>
          <w:szCs w:val="24"/>
        </w:rPr>
        <w:t>, per comprendere i processi e i concetti della logica sottostante;</w:t>
      </w:r>
    </w:p>
    <w:p w:rsidR="00746FA5" w:rsidRPr="00DD7E9A" w:rsidRDefault="00746FA5" w:rsidP="00746F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DD7E9A">
        <w:rPr>
          <w:szCs w:val="24"/>
        </w:rPr>
        <w:t xml:space="preserve">sviluppare un diverso approccio al </w:t>
      </w:r>
      <w:proofErr w:type="spellStart"/>
      <w:r w:rsidRPr="00DD7E9A">
        <w:rPr>
          <w:szCs w:val="24"/>
        </w:rPr>
        <w:t>problem-solving</w:t>
      </w:r>
      <w:proofErr w:type="spellEnd"/>
      <w:r w:rsidRPr="00DD7E9A">
        <w:rPr>
          <w:szCs w:val="24"/>
        </w:rPr>
        <w:t xml:space="preserve"> attraverso il pensiero computazionale avviando gli alunni verso l’astrazione e la ricerca di soluzioni alla complessità;</w:t>
      </w:r>
    </w:p>
    <w:p w:rsidR="00746FA5" w:rsidRPr="00DD7E9A" w:rsidRDefault="00746FA5" w:rsidP="00746FA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Cs w:val="20"/>
        </w:rPr>
      </w:pPr>
      <w:r w:rsidRPr="00DD7E9A">
        <w:rPr>
          <w:szCs w:val="20"/>
        </w:rPr>
        <w:t>accostare i bambini ai principi della programmazione attraverso la dimensione ludica, l’esperienza e la costruzione personale, la pedagogia dell’errore, la non-direttività dell’insegnante;</w:t>
      </w:r>
    </w:p>
    <w:p w:rsidR="00F01F06" w:rsidRPr="00DD7E9A" w:rsidRDefault="00746FA5" w:rsidP="00746FA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DD7E9A">
        <w:rPr>
          <w:szCs w:val="20"/>
        </w:rPr>
        <w:t>sviluppare numerose funzioni cognitive che vanno oltre l’acquisizione di competenze tecniche in senso stretto.</w:t>
      </w:r>
      <w:r w:rsidR="00881CE3" w:rsidRPr="00DD7E9A">
        <w:rPr>
          <w:szCs w:val="20"/>
        </w:rPr>
        <w:t xml:space="preserve"> </w:t>
      </w:r>
    </w:p>
    <w:sectPr w:rsidR="00F01F06" w:rsidRPr="00DD7E9A" w:rsidSect="00DD7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4" w:right="1134" w:bottom="1560" w:left="1134" w:header="56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904" w:rsidRDefault="00CB1904" w:rsidP="00F31014">
      <w:pPr>
        <w:spacing w:after="0" w:line="240" w:lineRule="auto"/>
      </w:pPr>
      <w:r>
        <w:separator/>
      </w:r>
    </w:p>
  </w:endnote>
  <w:endnote w:type="continuationSeparator" w:id="0">
    <w:p w:rsidR="00CB1904" w:rsidRDefault="00CB1904" w:rsidP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5104"/>
    </w:tblGrid>
    <w:tr w:rsidR="00DD7E9A" w:rsidTr="00DD7E9A">
      <w:tc>
        <w:tcPr>
          <w:tcW w:w="4814" w:type="dxa"/>
        </w:tcPr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b/>
              <w:color w:val="365F91" w:themeColor="accent1" w:themeShade="BF"/>
              <w:szCs w:val="20"/>
            </w:rPr>
          </w:pPr>
          <w:proofErr w:type="spellStart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>Oxfirm</w:t>
          </w:r>
          <w:proofErr w:type="spellEnd"/>
          <w:r w:rsidRPr="00D54B38">
            <w:rPr>
              <w:rFonts w:cstheme="minorHAnsi"/>
              <w:b/>
              <w:color w:val="365F91" w:themeColor="accent1" w:themeShade="BF"/>
              <w:szCs w:val="20"/>
            </w:rPr>
            <w:t xml:space="preserve"> s.r.l. 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bookmarkStart w:id="0" w:name="_GoBack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Viale Antonio </w:t>
          </w:r>
          <w:proofErr w:type="spellStart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Ciamarra</w:t>
          </w:r>
          <w:proofErr w:type="spellEnd"/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259 – 00173, ROMA (RM)</w:t>
          </w:r>
        </w:p>
        <w:p w:rsidR="00DD7E9A" w:rsidRPr="00D54B38" w:rsidRDefault="00DD7E9A" w:rsidP="00DD7E9A">
          <w:pPr>
            <w:pStyle w:val="Pidipagina"/>
            <w:ind w:left="142"/>
            <w:rPr>
              <w:rFonts w:cstheme="minorHAnsi"/>
              <w:color w:val="365F91" w:themeColor="accent1" w:themeShade="BF"/>
              <w:sz w:val="18"/>
              <w:szCs w:val="20"/>
            </w:rPr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>Partita IVA: 15972861007</w:t>
          </w:r>
        </w:p>
        <w:p w:rsidR="00DD7E9A" w:rsidRDefault="00DD7E9A" w:rsidP="00DD7E9A">
          <w:pPr>
            <w:pStyle w:val="Pidipagina"/>
          </w:pPr>
          <w:r w:rsidRPr="00D54B38">
            <w:rPr>
              <w:rFonts w:cstheme="minorHAnsi"/>
              <w:color w:val="365F91" w:themeColor="accent1" w:themeShade="BF"/>
              <w:sz w:val="18"/>
              <w:szCs w:val="20"/>
            </w:rPr>
            <w:t xml:space="preserve">    www.oxfirm.it   -   oxfirm@oxfirm.it</w:t>
          </w:r>
          <w:bookmarkEnd w:id="0"/>
        </w:p>
      </w:tc>
      <w:tc>
        <w:tcPr>
          <w:tcW w:w="5104" w:type="dxa"/>
        </w:tcPr>
        <w:p w:rsidR="00DD7E9A" w:rsidRPr="00DD7E9A" w:rsidRDefault="00DD7E9A" w:rsidP="00DD7E9A">
          <w:pPr>
            <w:numPr>
              <w:ilvl w:val="0"/>
              <w:numId w:val="4"/>
            </w:numPr>
            <w:shd w:val="clear" w:color="auto" w:fill="FFFFFF"/>
            <w:spacing w:line="144" w:lineRule="auto"/>
            <w:ind w:left="0" w:hanging="357"/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</w:pPr>
          <w:r w:rsidRPr="00DD7E9A">
            <w:rPr>
              <w:rFonts w:eastAsia="Times New Roman" w:cstheme="minorHAnsi"/>
              <w:b/>
              <w:color w:val="0B1E5B"/>
              <w:sz w:val="16"/>
              <w:szCs w:val="24"/>
              <w:u w:val="single"/>
              <w:lang w:eastAsia="it-IT"/>
            </w:rPr>
            <w:t>Servizi offerti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Gestione Privacy, DPO e GDPR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Procedure di acquisto e codice dei contratti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La </w:t>
          </w:r>
          <w:proofErr w:type="spellStart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Consip</w:t>
          </w:r>
          <w:proofErr w:type="spellEnd"/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 xml:space="preserve"> e l'utilizzo del mercato elettronico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trasparente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Amministrazione Digitale (CAD)</w:t>
          </w:r>
        </w:p>
        <w:p w:rsidR="00DD7E9A" w:rsidRPr="00DD7E9A" w:rsidRDefault="00DD7E9A" w:rsidP="00DD7E9A">
          <w:pPr>
            <w:pStyle w:val="Paragrafoelenco"/>
            <w:numPr>
              <w:ilvl w:val="0"/>
              <w:numId w:val="6"/>
            </w:numPr>
            <w:shd w:val="clear" w:color="auto" w:fill="FFFFFF"/>
            <w:tabs>
              <w:tab w:val="clear" w:pos="720"/>
            </w:tabs>
            <w:spacing w:line="144" w:lineRule="auto"/>
            <w:ind w:left="173" w:hanging="218"/>
            <w:rPr>
              <w:rFonts w:ascii="PT Serif" w:eastAsia="Times New Roman" w:hAnsi="PT Serif" w:cs="Times New Roman"/>
              <w:color w:val="0B1E5B"/>
              <w:sz w:val="24"/>
              <w:szCs w:val="24"/>
              <w:lang w:eastAsia="it-IT"/>
            </w:rPr>
          </w:pPr>
          <w:r w:rsidRPr="00DD7E9A">
            <w:rPr>
              <w:rFonts w:eastAsia="Times New Roman" w:cstheme="minorHAnsi"/>
              <w:color w:val="0B1E5B"/>
              <w:sz w:val="16"/>
              <w:szCs w:val="24"/>
              <w:lang w:eastAsia="it-IT"/>
            </w:rPr>
            <w:t>Progetti formativi e di acquisto con fondi comunitari (PON) e nazionali</w:t>
          </w:r>
        </w:p>
      </w:tc>
    </w:tr>
  </w:tbl>
  <w:p w:rsidR="00DD7E9A" w:rsidRDefault="00DD7E9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904" w:rsidRDefault="00CB1904" w:rsidP="00F31014">
      <w:pPr>
        <w:spacing w:after="0" w:line="240" w:lineRule="auto"/>
      </w:pPr>
      <w:r>
        <w:separator/>
      </w:r>
    </w:p>
  </w:footnote>
  <w:footnote w:type="continuationSeparator" w:id="0">
    <w:p w:rsidR="00CB1904" w:rsidRDefault="00CB1904" w:rsidP="00F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31" w:type="dxa"/>
      <w:tblLayout w:type="fixed"/>
      <w:tblLook w:val="01E0" w:firstRow="1" w:lastRow="1" w:firstColumn="1" w:lastColumn="1" w:noHBand="0" w:noVBand="0"/>
    </w:tblPr>
    <w:tblGrid>
      <w:gridCol w:w="4683"/>
      <w:gridCol w:w="5921"/>
    </w:tblGrid>
    <w:tr w:rsidR="00DD7E9A" w:rsidRPr="00F31014" w:rsidTr="00DD7E9A">
      <w:trPr>
        <w:trHeight w:val="1338"/>
      </w:trPr>
      <w:tc>
        <w:tcPr>
          <w:tcW w:w="4683" w:type="dxa"/>
        </w:tcPr>
        <w:p w:rsidR="00DD7E9A" w:rsidRPr="00F31014" w:rsidRDefault="00DD7E9A" w:rsidP="00ED00C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05245C8" wp14:editId="4F4BF088">
                <wp:extent cx="2408714" cy="672465"/>
                <wp:effectExtent l="0" t="0" r="0" b="0"/>
                <wp:docPr id="146" name="Immagine 146" descr="OXFIRM Studio di Consulen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XFIRM Studio di Consulenz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59" t="11767" b="10294"/>
                        <a:stretch/>
                      </pic:blipFill>
                      <pic:spPr bwMode="auto">
                        <a:xfrm>
                          <a:off x="0" y="0"/>
                          <a:ext cx="2410913" cy="6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1" w:type="dxa"/>
        </w:tcPr>
        <w:p w:rsidR="00DD7E9A" w:rsidRPr="00F31014" w:rsidRDefault="00DD7E9A" w:rsidP="0077611F">
          <w:pPr>
            <w:spacing w:after="0" w:line="240" w:lineRule="auto"/>
            <w:ind w:left="3"/>
            <w:jc w:val="right"/>
            <w:rPr>
              <w:rFonts w:ascii="Book Antiqua" w:eastAsia="Times New Roman" w:hAnsi="Book Antiqua" w:cs="Times New Roman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F577A4F" wp14:editId="49FBE790">
                <wp:extent cx="2576334" cy="684000"/>
                <wp:effectExtent l="0" t="0" r="0" b="1905"/>
                <wp:docPr id="147" name="Immagine 147" descr="Bergamo: Incontro PON Linee Guida e Procedure Operativ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rgamo: Incontro PON Linee Guida e Procedure Operativ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6334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1014" w:rsidRPr="00ED00C3" w:rsidRDefault="00F31014">
    <w:pPr>
      <w:pStyle w:val="Intestazion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38" w:rsidRDefault="00D54B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057"/>
    <w:multiLevelType w:val="hybridMultilevel"/>
    <w:tmpl w:val="2AC2DCD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6542FD"/>
    <w:multiLevelType w:val="multilevel"/>
    <w:tmpl w:val="2DE4D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07190"/>
    <w:multiLevelType w:val="hybridMultilevel"/>
    <w:tmpl w:val="DF9AA2CE"/>
    <w:lvl w:ilvl="0" w:tplc="7D521FE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62463"/>
    <w:multiLevelType w:val="multilevel"/>
    <w:tmpl w:val="41CCBB9A"/>
    <w:lvl w:ilvl="0"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7C0B26"/>
    <w:multiLevelType w:val="multilevel"/>
    <w:tmpl w:val="CB98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40BC6"/>
    <w:multiLevelType w:val="hybridMultilevel"/>
    <w:tmpl w:val="9A7C2922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14"/>
    <w:rsid w:val="00005142"/>
    <w:rsid w:val="00160F83"/>
    <w:rsid w:val="002931DA"/>
    <w:rsid w:val="002940DD"/>
    <w:rsid w:val="003075C0"/>
    <w:rsid w:val="003A3E35"/>
    <w:rsid w:val="003B0596"/>
    <w:rsid w:val="003D6F5A"/>
    <w:rsid w:val="004F7C05"/>
    <w:rsid w:val="00546198"/>
    <w:rsid w:val="00621B43"/>
    <w:rsid w:val="006907F9"/>
    <w:rsid w:val="00735CFC"/>
    <w:rsid w:val="00746FA5"/>
    <w:rsid w:val="0077611F"/>
    <w:rsid w:val="00881CE3"/>
    <w:rsid w:val="00A23DFB"/>
    <w:rsid w:val="00A575D7"/>
    <w:rsid w:val="00AC3A37"/>
    <w:rsid w:val="00B408FC"/>
    <w:rsid w:val="00B52B1F"/>
    <w:rsid w:val="00C40B88"/>
    <w:rsid w:val="00CB1904"/>
    <w:rsid w:val="00CC6FD4"/>
    <w:rsid w:val="00D54B38"/>
    <w:rsid w:val="00D556B4"/>
    <w:rsid w:val="00D9500A"/>
    <w:rsid w:val="00DD7E9A"/>
    <w:rsid w:val="00DE462A"/>
    <w:rsid w:val="00ED00C3"/>
    <w:rsid w:val="00F01F06"/>
    <w:rsid w:val="00F231AD"/>
    <w:rsid w:val="00F31014"/>
    <w:rsid w:val="00FB5591"/>
    <w:rsid w:val="00FD4D9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5C66A-6484-4AEF-A1F9-DC1023BD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014"/>
  </w:style>
  <w:style w:type="paragraph" w:styleId="Pidipagina">
    <w:name w:val="footer"/>
    <w:basedOn w:val="Normale"/>
    <w:link w:val="PidipaginaCarattere"/>
    <w:unhideWhenUsed/>
    <w:rsid w:val="00F310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310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014"/>
    <w:rPr>
      <w:rFonts w:ascii="Tahoma" w:hAnsi="Tahoma" w:cs="Tahoma"/>
      <w:sz w:val="16"/>
      <w:szCs w:val="1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310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31014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881CE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4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FA5"/>
  </w:style>
  <w:style w:type="character" w:styleId="Enfasigrassetto">
    <w:name w:val="Strong"/>
    <w:basedOn w:val="Carpredefinitoparagrafo"/>
    <w:uiPriority w:val="22"/>
    <w:qFormat/>
    <w:rsid w:val="00746FA5"/>
    <w:rPr>
      <w:b/>
      <w:bCs/>
    </w:rPr>
  </w:style>
  <w:style w:type="table" w:styleId="Grigliatabella">
    <w:name w:val="Table Grid"/>
    <w:basedOn w:val="Tabellanormale"/>
    <w:uiPriority w:val="59"/>
    <w:rsid w:val="00DD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1">
    <w:name w:val="List Table 2 Accent 1"/>
    <w:basedOn w:val="Tabellanormale"/>
    <w:uiPriority w:val="47"/>
    <w:rsid w:val="00DD7E9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Oxfirm</dc:creator>
  <cp:lastModifiedBy>Utente</cp:lastModifiedBy>
  <cp:revision>7</cp:revision>
  <dcterms:created xsi:type="dcterms:W3CDTF">2021-04-29T14:39:00Z</dcterms:created>
  <dcterms:modified xsi:type="dcterms:W3CDTF">2021-04-29T15:11:00Z</dcterms:modified>
</cp:coreProperties>
</file>