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8C070" w14:textId="77777777"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  <w:r w:rsidRPr="00F31014">
        <w:rPr>
          <w:sz w:val="28"/>
          <w:szCs w:val="28"/>
        </w:rPr>
        <w:t xml:space="preserve">Progetto di Coding scuola </w:t>
      </w:r>
      <w:r w:rsidR="004F7C05" w:rsidRPr="00160F83">
        <w:rPr>
          <w:sz w:val="28"/>
          <w:szCs w:val="28"/>
        </w:rPr>
        <w:t>secondaria di I grado</w:t>
      </w:r>
      <w:r w:rsidR="00746FA5" w:rsidRPr="00160F83">
        <w:rPr>
          <w:sz w:val="28"/>
          <w:szCs w:val="28"/>
        </w:rPr>
        <w:t xml:space="preserve"> </w:t>
      </w: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14:paraId="526C53DB" w14:textId="77777777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49B66A6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14:paraId="68BDBF9A" w14:textId="6FA3C7D6" w:rsidR="00DD7E9A" w:rsidRPr="00DD7E9A" w:rsidRDefault="002745FF" w:rsidP="00DD7E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 w:rsidRPr="00857727">
              <w:rPr>
                <w:sz w:val="20"/>
                <w:szCs w:val="24"/>
              </w:rPr>
              <w:t>Arte; Scrittura creativa; teatro</w:t>
            </w:r>
          </w:p>
        </w:tc>
      </w:tr>
      <w:tr w:rsidR="00DD7E9A" w14:paraId="1A4BAFD8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0D9DB64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14:paraId="60C25535" w14:textId="2DBF15B8" w:rsidR="00DD7E9A" w:rsidRPr="00DD7E9A" w:rsidRDefault="002745FF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 w:rsidRPr="002745FF">
              <w:rPr>
                <w:b/>
                <w:sz w:val="20"/>
                <w:szCs w:val="24"/>
              </w:rPr>
              <w:t>Laboratorio di arte/scrittura/teatro</w:t>
            </w:r>
          </w:p>
        </w:tc>
      </w:tr>
      <w:tr w:rsidR="00DD7E9A" w14:paraId="14CA0236" w14:textId="77777777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4A59FEC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14:paraId="40F51240" w14:textId="77777777"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14:paraId="4B8FDE50" w14:textId="77777777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4C386BE" w14:textId="77777777"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14:paraId="7C14F88B" w14:textId="7B1257A5" w:rsidR="00DD7E9A" w:rsidRDefault="00FE0B6D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bookmarkStart w:id="0" w:name="_GoBack"/>
            <w:r w:rsidRPr="00FE0B6D">
              <w:rPr>
                <w:b/>
                <w:sz w:val="20"/>
                <w:szCs w:val="24"/>
              </w:rPr>
              <w:t>Diventando…Artisti</w:t>
            </w:r>
            <w:bookmarkEnd w:id="0"/>
          </w:p>
        </w:tc>
      </w:tr>
    </w:tbl>
    <w:p w14:paraId="6950799A" w14:textId="77777777"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14:paraId="4F560148" w14:textId="77777777"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14:paraId="317BF60F" w14:textId="77777777"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14:paraId="7B9B5B30" w14:textId="77777777"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14:paraId="264D2EB3" w14:textId="206C408E" w:rsidR="00857727" w:rsidRPr="00857727" w:rsidRDefault="00857727" w:rsidP="00857727">
      <w:pPr>
        <w:spacing w:after="0" w:line="240" w:lineRule="auto"/>
        <w:jc w:val="both"/>
      </w:pPr>
      <w:r w:rsidRPr="00857727">
        <w:t>Il progetto si propone la sfida di costruire un</w:t>
      </w:r>
      <w:r>
        <w:t xml:space="preserve"> </w:t>
      </w:r>
      <w:r w:rsidRPr="00857727">
        <w:t>percorso d</w:t>
      </w:r>
      <w:r>
        <w:t xml:space="preserve">i educazione teatrale, partendo </w:t>
      </w:r>
      <w:r w:rsidRPr="00857727">
        <w:t>proprio da</w:t>
      </w:r>
      <w:r>
        <w:t xml:space="preserve">gli stessi ragazzi e dalla loro </w:t>
      </w:r>
      <w:r w:rsidRPr="00857727">
        <w:t>creatività istintiva e naturale, sot</w:t>
      </w:r>
      <w:r>
        <w:t xml:space="preserve">to la guida </w:t>
      </w:r>
      <w:r w:rsidRPr="00857727">
        <w:t>dell'esper</w:t>
      </w:r>
      <w:r>
        <w:t xml:space="preserve">to, che cercherà di metterla in </w:t>
      </w:r>
      <w:r w:rsidRPr="00857727">
        <w:t>luce, di arricch</w:t>
      </w:r>
      <w:r>
        <w:t xml:space="preserve">irla, valorizzarla, ma anche di </w:t>
      </w:r>
      <w:r w:rsidRPr="00857727">
        <w:t>contenerla e c</w:t>
      </w:r>
      <w:r>
        <w:t xml:space="preserve">analizzarla verso vie proficue. </w:t>
      </w:r>
      <w:r w:rsidRPr="00857727">
        <w:t xml:space="preserve">I ragazzi </w:t>
      </w:r>
      <w:r>
        <w:t xml:space="preserve">saranno impegnati in compiti di </w:t>
      </w:r>
      <w:r w:rsidRPr="00857727">
        <w:t>scen</w:t>
      </w:r>
      <w:r>
        <w:t xml:space="preserve">eggiatura, regia e recitazione: </w:t>
      </w:r>
      <w:r w:rsidRPr="00857727">
        <w:t>attraverso la conoscenza degli elementi</w:t>
      </w:r>
    </w:p>
    <w:p w14:paraId="07A0CE41" w14:textId="7EC215B4" w:rsidR="00857727" w:rsidRDefault="00857727" w:rsidP="00857727">
      <w:pPr>
        <w:spacing w:after="0" w:line="240" w:lineRule="auto"/>
        <w:jc w:val="both"/>
      </w:pPr>
      <w:r w:rsidRPr="00857727">
        <w:t>dell’arte del</w:t>
      </w:r>
      <w:r>
        <w:t xml:space="preserve">la scrittura si imparerà a fare </w:t>
      </w:r>
      <w:r w:rsidRPr="00857727">
        <w:t>una tram</w:t>
      </w:r>
      <w:r>
        <w:t xml:space="preserve">a, un intreccio, come impostare </w:t>
      </w:r>
      <w:r w:rsidRPr="00857727">
        <w:t>dial</w:t>
      </w:r>
      <w:r>
        <w:t xml:space="preserve">oghi, creare personaggi, quando </w:t>
      </w:r>
      <w:r w:rsidRPr="00857727">
        <w:t>introdurre nuovi elementi.</w:t>
      </w:r>
    </w:p>
    <w:p w14:paraId="76C79558" w14:textId="61B95404" w:rsidR="00857727" w:rsidRDefault="00857727" w:rsidP="00857727">
      <w:pPr>
        <w:spacing w:after="0"/>
        <w:jc w:val="both"/>
      </w:pPr>
    </w:p>
    <w:p w14:paraId="54A2A5DE" w14:textId="7FFB68AD" w:rsidR="00857727" w:rsidRPr="00857727" w:rsidRDefault="00857727" w:rsidP="00857727">
      <w:pPr>
        <w:spacing w:after="0"/>
        <w:jc w:val="both"/>
      </w:pPr>
    </w:p>
    <w:p w14:paraId="4E2A66A1" w14:textId="77777777"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DESCRIZIONE</w:t>
      </w:r>
    </w:p>
    <w:p w14:paraId="07B7FAB0" w14:textId="29A39C69" w:rsidR="00FD4D95" w:rsidRDefault="00857727" w:rsidP="004F7C05">
      <w:pPr>
        <w:spacing w:after="0" w:line="240" w:lineRule="auto"/>
        <w:jc w:val="both"/>
        <w:rPr>
          <w:szCs w:val="24"/>
        </w:rPr>
      </w:pPr>
      <w:r w:rsidRPr="00857727">
        <w:rPr>
          <w:szCs w:val="24"/>
        </w:rPr>
        <w:t>la metodologia la</w:t>
      </w:r>
      <w:r>
        <w:rPr>
          <w:szCs w:val="24"/>
        </w:rPr>
        <w:t xml:space="preserve">boratoriale basata sul </w:t>
      </w:r>
      <w:proofErr w:type="spellStart"/>
      <w:r>
        <w:rPr>
          <w:szCs w:val="24"/>
        </w:rPr>
        <w:t>learning</w:t>
      </w:r>
      <w:proofErr w:type="spellEnd"/>
      <w:r>
        <w:rPr>
          <w:szCs w:val="24"/>
        </w:rPr>
        <w:t xml:space="preserve"> </w:t>
      </w:r>
      <w:r w:rsidRPr="00857727">
        <w:rPr>
          <w:szCs w:val="24"/>
        </w:rPr>
        <w:t xml:space="preserve">by </w:t>
      </w:r>
      <w:proofErr w:type="spellStart"/>
      <w:r w:rsidRPr="00857727">
        <w:rPr>
          <w:szCs w:val="24"/>
        </w:rPr>
        <w:t>doing</w:t>
      </w:r>
      <w:proofErr w:type="spellEnd"/>
      <w:r w:rsidRPr="00857727">
        <w:rPr>
          <w:szCs w:val="24"/>
        </w:rPr>
        <w:t>, l’uso di spazi scolastici alternativi all’aula, l’affiancamento di esperti dei vari settori coinvolti, l’apertura della scuola in orari e tempi diversi da quelli scolastici potranno favorire la lotta alla dispersione scolastica e l’</w:t>
      </w:r>
      <w:proofErr w:type="spellStart"/>
      <w:r w:rsidRPr="00857727">
        <w:rPr>
          <w:szCs w:val="24"/>
        </w:rPr>
        <w:t>inclusività</w:t>
      </w:r>
      <w:proofErr w:type="spellEnd"/>
      <w:r w:rsidRPr="00857727">
        <w:rPr>
          <w:szCs w:val="24"/>
        </w:rPr>
        <w:t xml:space="preserve"> di alunni svantaggiati socioculturali, nonché l’idea di una scuola innovativa, attenta ai bisogni della propria utenza, aperta all’innovazione, basata non più sulla trasmissione di </w:t>
      </w:r>
      <w:proofErr w:type="spellStart"/>
      <w:r w:rsidRPr="00857727">
        <w:rPr>
          <w:szCs w:val="24"/>
        </w:rPr>
        <w:t>saperi</w:t>
      </w:r>
      <w:proofErr w:type="spellEnd"/>
      <w:r w:rsidRPr="00857727">
        <w:rPr>
          <w:szCs w:val="24"/>
        </w:rPr>
        <w:t xml:space="preserve"> e conoscenze, ma in grado di fornire competenze ai propri alunni per divenire cittadini consapevoli e attivi.</w:t>
      </w:r>
    </w:p>
    <w:p w14:paraId="3BF87D6E" w14:textId="77777777" w:rsidR="00857727" w:rsidRPr="00DD7E9A" w:rsidRDefault="00857727" w:rsidP="004F7C05">
      <w:pPr>
        <w:spacing w:after="0" w:line="240" w:lineRule="auto"/>
        <w:jc w:val="both"/>
        <w:rPr>
          <w:b/>
          <w:szCs w:val="24"/>
        </w:rPr>
      </w:pPr>
    </w:p>
    <w:p w14:paraId="3818DD8C" w14:textId="77777777"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OBIETTIVI</w:t>
      </w:r>
    </w:p>
    <w:p w14:paraId="2355468E" w14:textId="595DD824" w:rsidR="00857727" w:rsidRPr="00857727" w:rsidRDefault="00857727" w:rsidP="00857727">
      <w:pPr>
        <w:spacing w:after="0" w:line="240" w:lineRule="auto"/>
        <w:jc w:val="both"/>
        <w:rPr>
          <w:szCs w:val="24"/>
        </w:rPr>
      </w:pPr>
      <w:r>
        <w:rPr>
          <w:szCs w:val="24"/>
        </w:rPr>
        <w:t>Il percorso si pone diversi</w:t>
      </w:r>
      <w:r w:rsidRPr="00857727">
        <w:rPr>
          <w:szCs w:val="24"/>
        </w:rPr>
        <w:t xml:space="preserve"> obiettivi</w:t>
      </w:r>
      <w:r>
        <w:rPr>
          <w:szCs w:val="24"/>
        </w:rPr>
        <w:t xml:space="preserve">, tra i quali quello di </w:t>
      </w:r>
      <w:r w:rsidRPr="00857727">
        <w:rPr>
          <w:szCs w:val="24"/>
        </w:rPr>
        <w:t>facilitare l'apprendimento e la padronanza di strumenti creativi, nella promozione del benessere e nella prev</w:t>
      </w:r>
      <w:r>
        <w:rPr>
          <w:szCs w:val="24"/>
        </w:rPr>
        <w:t xml:space="preserve">enzione del disagio scolastico; </w:t>
      </w:r>
      <w:r w:rsidRPr="00857727">
        <w:rPr>
          <w:szCs w:val="24"/>
        </w:rPr>
        <w:t>incentiv</w:t>
      </w:r>
      <w:r>
        <w:rPr>
          <w:szCs w:val="24"/>
        </w:rPr>
        <w:t xml:space="preserve">are la motivazione individuale al fine di </w:t>
      </w:r>
      <w:r w:rsidRPr="00857727">
        <w:rPr>
          <w:szCs w:val="24"/>
        </w:rPr>
        <w:t xml:space="preserve">prevenire il rischio di disinteresse e atteggiamenti </w:t>
      </w:r>
      <w:r>
        <w:rPr>
          <w:szCs w:val="24"/>
        </w:rPr>
        <w:t xml:space="preserve">di ostilità verso la conoscenza. </w:t>
      </w:r>
    </w:p>
    <w:p w14:paraId="3AFCBEF6" w14:textId="1E229DD2" w:rsidR="00F01F06" w:rsidRPr="00857727" w:rsidRDefault="00857727" w:rsidP="00857727">
      <w:pPr>
        <w:spacing w:after="0" w:line="240" w:lineRule="auto"/>
        <w:jc w:val="both"/>
        <w:rPr>
          <w:szCs w:val="24"/>
        </w:rPr>
      </w:pPr>
      <w:r>
        <w:rPr>
          <w:szCs w:val="24"/>
        </w:rPr>
        <w:t>S</w:t>
      </w:r>
      <w:r w:rsidRPr="00857727">
        <w:rPr>
          <w:szCs w:val="24"/>
        </w:rPr>
        <w:t>perimentare nuove possibilità comunicative e relazional</w:t>
      </w:r>
      <w:r>
        <w:rPr>
          <w:szCs w:val="24"/>
        </w:rPr>
        <w:t>i nella globalità dei linguaggi attraverso l’apprendimento di</w:t>
      </w:r>
      <w:r w:rsidRPr="00857727">
        <w:rPr>
          <w:szCs w:val="24"/>
        </w:rPr>
        <w:t xml:space="preserve"> diverse metodologie </w:t>
      </w:r>
      <w:r>
        <w:rPr>
          <w:szCs w:val="24"/>
        </w:rPr>
        <w:t>e allo stesso tempo la possibilità di</w:t>
      </w:r>
      <w:r w:rsidRPr="00857727">
        <w:rPr>
          <w:szCs w:val="24"/>
        </w:rPr>
        <w:t xml:space="preserve">, </w:t>
      </w:r>
      <w:proofErr w:type="spellStart"/>
      <w:r w:rsidRPr="00857727">
        <w:rPr>
          <w:szCs w:val="24"/>
        </w:rPr>
        <w:t>autoconcentrarsi</w:t>
      </w:r>
      <w:proofErr w:type="spellEnd"/>
      <w:r w:rsidRPr="00857727">
        <w:rPr>
          <w:szCs w:val="24"/>
        </w:rPr>
        <w:t xml:space="preserve">, autogestirsi </w:t>
      </w:r>
      <w:r>
        <w:rPr>
          <w:szCs w:val="24"/>
        </w:rPr>
        <w:t xml:space="preserve">anche attraverso </w:t>
      </w:r>
      <w:r w:rsidRPr="00857727">
        <w:rPr>
          <w:szCs w:val="24"/>
        </w:rPr>
        <w:t>l'utilizzo di diverse modalità espressive</w:t>
      </w:r>
      <w:r>
        <w:rPr>
          <w:szCs w:val="24"/>
        </w:rPr>
        <w:t xml:space="preserve">. Non escludendo la possibilità di </w:t>
      </w:r>
      <w:r w:rsidRPr="00857727">
        <w:rPr>
          <w:szCs w:val="24"/>
        </w:rPr>
        <w:t>esplorare le potenzialità espressive nella elabor</w:t>
      </w:r>
      <w:r>
        <w:rPr>
          <w:szCs w:val="24"/>
        </w:rPr>
        <w:t>azione e soluzione dei problemi, promuovendo</w:t>
      </w:r>
      <w:r w:rsidRPr="00857727">
        <w:rPr>
          <w:szCs w:val="24"/>
        </w:rPr>
        <w:t xml:space="preserve"> lo sviluppo della capacità "</w:t>
      </w:r>
      <w:proofErr w:type="spellStart"/>
      <w:r w:rsidRPr="00857727">
        <w:rPr>
          <w:szCs w:val="24"/>
        </w:rPr>
        <w:t>metarappresentativa</w:t>
      </w:r>
      <w:proofErr w:type="spellEnd"/>
      <w:r w:rsidRPr="00857727">
        <w:rPr>
          <w:szCs w:val="24"/>
        </w:rPr>
        <w:t>", attraverso l'uso del linguaggio teatrale complesso e pluridisciplinare: corpo, movimento, suono, ritmo, gesto, parola e immagine.</w:t>
      </w:r>
    </w:p>
    <w:sectPr w:rsidR="00F01F06" w:rsidRPr="00857727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2F96B" w14:textId="77777777" w:rsidR="000C7E3F" w:rsidRDefault="000C7E3F" w:rsidP="00F31014">
      <w:pPr>
        <w:spacing w:after="0" w:line="240" w:lineRule="auto"/>
      </w:pPr>
      <w:r>
        <w:separator/>
      </w:r>
    </w:p>
  </w:endnote>
  <w:endnote w:type="continuationSeparator" w:id="0">
    <w:p w14:paraId="2F4B5275" w14:textId="77777777" w:rsidR="000C7E3F" w:rsidRDefault="000C7E3F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4E15" w14:textId="77777777"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14:paraId="09BBDFFA" w14:textId="77777777" w:rsidTr="00DD7E9A">
      <w:tc>
        <w:tcPr>
          <w:tcW w:w="4814" w:type="dxa"/>
        </w:tcPr>
        <w:p w14:paraId="717ED9C6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14:paraId="2A756FD3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Viale Antonio Ciamarra 259 – 00173, ROMA (RM)</w:t>
          </w:r>
        </w:p>
        <w:p w14:paraId="764FC4E5" w14:textId="77777777"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14:paraId="6D417DD3" w14:textId="77777777"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</w:p>
      </w:tc>
      <w:tc>
        <w:tcPr>
          <w:tcW w:w="5104" w:type="dxa"/>
        </w:tcPr>
        <w:p w14:paraId="0484F294" w14:textId="77777777"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14:paraId="7B5AD308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14:paraId="665ECDBE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14:paraId="5E07EB55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La Consip e l'utilizzo del mercato elettronico</w:t>
          </w:r>
        </w:p>
        <w:p w14:paraId="70DBF8A3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14:paraId="41DE8079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14:paraId="0FF37428" w14:textId="77777777"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14:paraId="078C2B34" w14:textId="77777777"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74F69" w14:textId="77777777"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736B4" w14:textId="77777777" w:rsidR="000C7E3F" w:rsidRDefault="000C7E3F" w:rsidP="00F31014">
      <w:pPr>
        <w:spacing w:after="0" w:line="240" w:lineRule="auto"/>
      </w:pPr>
      <w:r>
        <w:separator/>
      </w:r>
    </w:p>
  </w:footnote>
  <w:footnote w:type="continuationSeparator" w:id="0">
    <w:p w14:paraId="0DBE3DC1" w14:textId="77777777" w:rsidR="000C7E3F" w:rsidRDefault="000C7E3F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82E4" w14:textId="77777777"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14:paraId="18C59521" w14:textId="77777777" w:rsidTr="00DD7E9A">
      <w:trPr>
        <w:trHeight w:val="1338"/>
      </w:trPr>
      <w:tc>
        <w:tcPr>
          <w:tcW w:w="4683" w:type="dxa"/>
        </w:tcPr>
        <w:p w14:paraId="68F949C0" w14:textId="77777777"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56B36EDE" wp14:editId="3CB11ED4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14:paraId="3E8F4136" w14:textId="77777777"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71F87F3B" wp14:editId="653600EE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F6C4AA" w14:textId="77777777"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A49B" w14:textId="77777777"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0C7E3F"/>
    <w:rsid w:val="00160F83"/>
    <w:rsid w:val="002745FF"/>
    <w:rsid w:val="002931DA"/>
    <w:rsid w:val="002940DD"/>
    <w:rsid w:val="003075C0"/>
    <w:rsid w:val="003A3E35"/>
    <w:rsid w:val="003B0596"/>
    <w:rsid w:val="003D6F5A"/>
    <w:rsid w:val="004F7C05"/>
    <w:rsid w:val="00546198"/>
    <w:rsid w:val="00621B43"/>
    <w:rsid w:val="006907F9"/>
    <w:rsid w:val="00735CFC"/>
    <w:rsid w:val="00746FA5"/>
    <w:rsid w:val="0077611F"/>
    <w:rsid w:val="00857727"/>
    <w:rsid w:val="00881CE3"/>
    <w:rsid w:val="00A23DFB"/>
    <w:rsid w:val="00A575D7"/>
    <w:rsid w:val="00AC3A37"/>
    <w:rsid w:val="00B408FC"/>
    <w:rsid w:val="00B52B1F"/>
    <w:rsid w:val="00BC6FD4"/>
    <w:rsid w:val="00C40B88"/>
    <w:rsid w:val="00CB1904"/>
    <w:rsid w:val="00CC6FD4"/>
    <w:rsid w:val="00D54B38"/>
    <w:rsid w:val="00D556B4"/>
    <w:rsid w:val="00D9500A"/>
    <w:rsid w:val="00DD7E9A"/>
    <w:rsid w:val="00DE462A"/>
    <w:rsid w:val="00ED00C3"/>
    <w:rsid w:val="00F01F06"/>
    <w:rsid w:val="00F231AD"/>
    <w:rsid w:val="00F31014"/>
    <w:rsid w:val="00F60786"/>
    <w:rsid w:val="00F7678F"/>
    <w:rsid w:val="00FB5591"/>
    <w:rsid w:val="00FD4D95"/>
    <w:rsid w:val="00FE0B6D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B4C8B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acer</cp:lastModifiedBy>
  <cp:revision>12</cp:revision>
  <dcterms:created xsi:type="dcterms:W3CDTF">2021-04-29T14:39:00Z</dcterms:created>
  <dcterms:modified xsi:type="dcterms:W3CDTF">2021-05-04T14:56:00Z</dcterms:modified>
</cp:coreProperties>
</file>